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推进2025年“电动莆田”建设的实施意见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（二次征求意见稿）</w:t>
      </w:r>
    </w:p>
    <w:p>
      <w:pPr>
        <w:widowControl w:val="0"/>
        <w:wordWrap/>
        <w:spacing w:before="0" w:after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为深入贯彻落实党中央、国务院关于做好“碳达峰、碳中和”决策部署，根据福建省工业和信息化厅等十部门《关于印发全面推进“电动福建”建设的实施意见（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2023-2025年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）的通知》（闽工信规〔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）精神，结合市委、市政府工作要求，现就推进“电动莆田”建设提出如下实施意见。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eastAsia="zh-CN"/>
        </w:rPr>
        <w:t>一、培育壮大新能源汽车产业链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支持新能源汽车企业做大做强，扩大规模，在省级新能源汽车产业发展扶持项目的基础上，市级再给予等额配套补贴。鼓励产品创新研发，对新开发的新能源汽车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车型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，在省级新能源汽车新产品开发奖励基础上，市级再给予等额配套补贴。支持拓展国际市场，对有出口实绩的新能源汽车生产企业开展产品认证进行扶持，支持比例不超过项目单位符合支持内容实际发生费用的50%，最高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</w:rPr>
        <w:t>责任单位：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eastAsia="zh-CN"/>
        </w:rPr>
        <w:t>市工信局、发改委、商务局、财政局，各县（区）人民政府（管委会）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eastAsia="zh-CN"/>
        </w:rPr>
        <w:t>二、深化新能源应用场景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巩固公交车和出租车电动化成果，在城市物流配送、环卫、工程建设、党政机关、国有企业等公共领域进一步推广使用新能源汽车，持续提升公共领域新能源汽车比重，引导带动私人购买使用新能源汽车。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eastAsia="zh-CN"/>
        </w:rPr>
        <w:t>公务车。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全市党政机关、事业单位、国有企业等新增和更新公务用车的，除实物保障岗位工作用车、处置突发事件应急用车、特种专业技术用车、执法用车等特殊情况外，鼓励采用新能源汽车，逐年提升公务车领域新能源汽车比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（二）其他公共领域用车。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鼓励出租车、城市物流配送车、景区和港区用车、环卫车等公共领域用车新增和更新时采用新能源汽车，逐年提升新能源汽车在公共领域的比重。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（三）私人用车。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鼓励整车企业开展“以旧换新”等模式，促进私人用户购买新能源汽车；鼓励属地政府出台支持私人用户购买新能源汽车的激励政策。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</w:rPr>
        <w:t>责任单位：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工信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、交通运输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生态环境局、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机关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事务保障中心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、财政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、国资委、住建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  <w:lang w:eastAsia="zh-CN"/>
        </w:rPr>
        <w:t>城市管理局、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公安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、文旅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 w:color="auto"/>
          <w:lang w:eastAsia="zh-CN"/>
        </w:rPr>
        <w:t>市场监管局、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邮政管理局，各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县（区）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人民政府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（管委会）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按职责分工落实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eastAsia="zh-CN"/>
        </w:rPr>
        <w:t>三、推进充电设施建设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楷体" w:hAnsi="楷体" w:eastAsia="楷体" w:cs="楷体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（一）完善充（换）电网络布局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支持新能源汽车、电动船舶充（换）电设施、智能路侧设施和功能性平台建设。完善充（换）电网络设施建设规划，优化经营性充（换）电网络布局。推广集中式“光储充检”一体化示范站，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在省级补助基础上，再给予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等额配套补助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推广智能有序、慢充为主、应急快充为辅的居民区电充服务模式，鼓励采用具备有序充电功能的智能化充电桩。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楷体" w:hAnsi="楷体" w:eastAsia="楷体" w:cs="楷体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（二）落实充电基础设施配建要求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落实公共停车场和新建住宅充电基础设施配建要求，相关职能部门应在新建住宅项目规划报批、竣工验收环节依法督促、检查、监督，电网企业应配合开展配建及接电情况核验。鼓励采用“统建统营”等方式加快推进有条件的老旧小区充电设施建设。结合老旧小区、街区片区改造等工作，在设计及改造实施环节充分预留充电设施供电管沟，满足充电设施快速接电要求。对符合消防安全、电力容量等充电设施建设条件的，物业服务企业或其他管理人等应积极配合做好充电设施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  <w:lang w:eastAsia="zh-CN"/>
        </w:rPr>
        <w:t>责任单位：市工信局、发改委、住建局、城市管理局、自然资源局、财政局，国网莆田供电公司，各县（区）人民政府（管委会）按职责分工负责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优化新能源汽车使用环境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对统一外观颜色、标识编号的新能源邮（快）件末端揽投车辆，在不影响道路通行的情况下，允许在城市非主干道上短时停靠。在新、旧住宅小区规划建设和改造时，调增邮政快递新能源车辆临时停车位。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  <w:lang w:eastAsia="zh-CN"/>
        </w:rPr>
        <w:t>责任单位：市公安局、交通运输局、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邮政管理局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  <w:lang w:eastAsia="zh-CN"/>
        </w:rPr>
        <w:t>住建局、自然资源局，各县（区）政府（管委会）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按职责分工落实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eastAsia="zh-CN"/>
        </w:rPr>
        <w:t>五、支持新能源汽车微出行服务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支持符合条件的企业在本市开展新能源汽车电动微出行服务，解决乡镇群众出行难、出行贵、出行安全保障不足等问题。自2025年1月1日起，企业采购新能源车辆数量超过300台（含），车辆取得本市出租车或网约车运营资质，且实际使用新能源汽车开展运营。车辆上牌运营后，每台车补贴1万元；运营里程达到10万公里后，每台车再补贴1万元。本项共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00辆车。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u w:val="none" w:color="auto"/>
          <w:lang w:eastAsia="zh-CN"/>
        </w:rPr>
        <w:t>责任单位：市工信局、财政局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eastAsia="zh-CN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eastAsia="zh-CN"/>
        </w:rPr>
        <w:t>（一）强化组织保障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进一步发挥市级新能源汽车推广应用和产业发展联席会议制度作用，统筹协调推动新能源汽车推广应用和产业发展，深化“电动莆田”建设。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eastAsia="zh-CN"/>
        </w:rPr>
        <w:t>（二）加大资金支持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安排“电动莆田”建设专项资金，不同类别及省市补助政策可叠加。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2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i w:val="0"/>
          <w:color w:val="auto"/>
          <w:sz w:val="32"/>
          <w:szCs w:val="32"/>
          <w:highlight w:val="none"/>
          <w:shd w:val="clear" w:color="auto" w:fill="auto"/>
          <w:lang w:eastAsia="zh-CN"/>
        </w:rPr>
        <w:t>（三）加强责任落实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市直有关单位要根据自身职能认真抓好落实，并加强部门协同，形成工作合力。各县（区）政府（管委会）要落实属地主体责任，结合当地实际，研究制定贯彻落实意见，确保各项任务落实到位。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同一企业可叠加享受本政策所列各项扶持措施。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本政策中措施条款可与省市其他政策叠加执行。本政策自2025年1月1日起执行，有效期至2025年12月31日。本政策由市工信局、市财政局、市发改委、市商务局、市交通局、市国资委负责解释。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D950BF"/>
    <w:rsid w:val="079056D2"/>
    <w:rsid w:val="0EEE714D"/>
    <w:rsid w:val="18337F0A"/>
    <w:rsid w:val="1F724016"/>
    <w:rsid w:val="25D26736"/>
    <w:rsid w:val="295C02C8"/>
    <w:rsid w:val="31A50C89"/>
    <w:rsid w:val="3DFFA0D3"/>
    <w:rsid w:val="3EAB0813"/>
    <w:rsid w:val="441F7A58"/>
    <w:rsid w:val="56740D47"/>
    <w:rsid w:val="5BE17E8E"/>
    <w:rsid w:val="61767E09"/>
    <w:rsid w:val="63E168D4"/>
    <w:rsid w:val="6BF7190D"/>
    <w:rsid w:val="726A644B"/>
    <w:rsid w:val="75DD0FD8"/>
    <w:rsid w:val="7831134E"/>
    <w:rsid w:val="79BB3E15"/>
    <w:rsid w:val="7D8321E5"/>
    <w:rsid w:val="7E8913F8"/>
    <w:rsid w:val="7FE55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狂奔的蜗牛</cp:lastModifiedBy>
  <cp:lastPrinted>2025-08-25T17:01:05Z</cp:lastPrinted>
  <dcterms:modified xsi:type="dcterms:W3CDTF">2025-08-25T17:01:08Z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